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="HelveticaNeueLT Std Blk" w:eastAsia="Times New Roman" w:hAnsi="HelveticaNeueLT Std Blk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-1316671</wp:posOffset>
                </wp:positionV>
                <wp:extent cx="489585" cy="1621790"/>
                <wp:effectExtent l="5398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4F1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5E0E99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5E0E99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12.65pt;margin-top:-103.65pt;width:38.55pt;height:127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" fillcolor="#f4f1ff" stroked="f" strokeweight="1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5E0E99"/>
                        </w:rPr>
                      </w:pPr>
                      <w:r>
                        <w:rPr>
                          <w:rFonts w:ascii="HelveticaNeueLT Std Blk" w:hAnsi="HelveticaNeueLT Std Blk"/>
                          <w:color w:val="5E0E99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/>
        </w:rPr>
        <w:t>Weiterbeschäftigungsprozess</w:t>
      </w:r>
      <w:r>
        <w:rPr>
          <w:rFonts w:ascii="HelveticaNeueLT Std Blk" w:eastAsia="Times New Roman" w:hAnsi="HelveticaNeueLT Std Blk"/>
        </w:rPr>
        <w:br/>
      </w:r>
      <w:r>
        <w:rPr>
          <w:rFonts w:ascii="HelveticaNeueLT Std Blk" w:eastAsia="Times New Roman" w:hAnsi="HelveticaNeueLT Std Blk"/>
          <w:color w:val="5E0E99"/>
          <w:sz w:val="28"/>
        </w:rPr>
        <w:t>Information für Lernende und AusbildnerInnen</w:t>
      </w:r>
    </w:p>
    <w:p>
      <w:pPr>
        <w:pStyle w:val="StandardWeb"/>
        <w:rPr>
          <w:rFonts w:ascii="HelveticaNeueLT Std" w:hAnsi="HelveticaNeueLT Std"/>
        </w:rPr>
      </w:pPr>
      <w:r>
        <w:rPr>
          <w:rFonts w:ascii="HelveticaNeueLT Std" w:hAnsi="HelveticaNeueLT Std"/>
          <w:i/>
        </w:rPr>
        <w:t>Wir/Betrieb</w:t>
      </w:r>
      <w:r>
        <w:rPr>
          <w:rFonts w:ascii="HelveticaNeueLT Std" w:hAnsi="HelveticaNeueLT Std"/>
        </w:rPr>
        <w:t xml:space="preserve"> bilden Lernende aus, um sie bei entsprechender Leistung nach Lehrende weiterzubeschäftigen. Wir freuen uns, wenn dies bei vielen Lernenden der Fall ist. </w:t>
      </w:r>
    </w:p>
    <w:p>
      <w:pPr>
        <w:pStyle w:val="StandardWeb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Wir garantieren keine Stellen, da dies ist immer abhängig ist von der aktuellen Geschäftssituation. </w:t>
      </w:r>
    </w:p>
    <w:p>
      <w:pPr>
        <w:pStyle w:val="StandardWeb"/>
        <w:rPr>
          <w:rFonts w:ascii="HelveticaNeueLT Std" w:hAnsi="HelveticaNeueLT Std"/>
          <w:noProof/>
        </w:rPr>
      </w:pPr>
      <w:r>
        <w:rPr>
          <w:rFonts w:ascii="HelveticaNeueLT Std" w:hAnsi="HelveticaNeueLT Std"/>
        </w:rPr>
        <w:t>Die Hauptverantwortung eine Anschlusslösung zu finden, liegt bei den Lernenden. Heisst, dass hier ein gewisses Mass an Initiative und Eigenverantwortung erwartet wird - wie während der gesamten Lehrzeit</w:t>
      </w:r>
      <w:r>
        <w:rPr>
          <w:rFonts w:ascii="HelveticaNeueLT Std" w:hAnsi="HelveticaNeueLT Std"/>
          <w:noProof/>
        </w:rPr>
        <w:t>.</w:t>
      </w:r>
    </w:p>
    <w:p>
      <w:pPr>
        <w:pStyle w:val="StandardWeb"/>
        <w:rPr>
          <w:rFonts w:ascii="HelveticaNeueLT Std" w:hAnsi="HelveticaNeueLT Std"/>
          <w:sz w:val="16"/>
        </w:rPr>
      </w:pPr>
      <w:r>
        <w:rPr>
          <w:rFonts w:ascii="HelveticaNeueLT Std" w:hAnsi="HelveticaNeueLT Std"/>
          <w:sz w:val="16"/>
        </w:rPr>
        <w:t>Schematischer Ablauf</w:t>
      </w:r>
    </w:p>
    <w:tbl>
      <w:tblPr>
        <w:tblStyle w:val="Tabellenraster"/>
        <w:tblpPr w:leftFromText="141" w:rightFromText="141" w:vertAnchor="text" w:tblpX="-709" w:tblpY="1"/>
        <w:tblOverlap w:val="never"/>
        <w:tblW w:w="10805" w:type="dxa"/>
        <w:tblLayout w:type="fixed"/>
        <w:tblLook w:val="04A0" w:firstRow="1" w:lastRow="0" w:firstColumn="1" w:lastColumn="0" w:noHBand="0" w:noVBand="1"/>
      </w:tblPr>
      <w:tblGrid>
        <w:gridCol w:w="664"/>
        <w:gridCol w:w="1126"/>
        <w:gridCol w:w="1127"/>
        <w:gridCol w:w="1127"/>
        <w:gridCol w:w="1127"/>
        <w:gridCol w:w="1126"/>
        <w:gridCol w:w="1127"/>
        <w:gridCol w:w="1127"/>
        <w:gridCol w:w="1127"/>
        <w:gridCol w:w="1127"/>
      </w:tblGrid>
      <w:t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DEZ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JAN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FEB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MÄR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APR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MAI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JUN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JUL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Web"/>
              <w:rPr>
                <w:rFonts w:ascii="HelveticaNeueLT Std" w:hAnsi="HelveticaNeueLT Std"/>
                <w:b/>
                <w:color w:val="808080" w:themeColor="background1" w:themeShade="80"/>
              </w:rPr>
            </w:pPr>
            <w:r>
              <w:rPr>
                <w:rFonts w:ascii="HelveticaNeueLT Std" w:hAnsi="HelveticaNeueLT Std"/>
                <w:b/>
                <w:color w:val="808080" w:themeColor="background1" w:themeShade="80"/>
              </w:rPr>
              <w:t>AUG</w:t>
            </w:r>
          </w:p>
        </w:tc>
      </w:tr>
      <w:tr>
        <w:trPr>
          <w:cantSplit/>
          <w:trHeight w:val="55"/>
        </w:trPr>
        <w:tc>
          <w:tcPr>
            <w:tcW w:w="664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  <w:textDirection w:val="btLr"/>
          </w:tcPr>
          <w:p>
            <w:pPr>
              <w:pStyle w:val="StandardWeb"/>
              <w:ind w:left="113" w:right="113"/>
              <w:rPr>
                <w:rFonts w:ascii="HelveticaNeueLT Std" w:hAnsi="HelveticaNeueLT Std"/>
                <w:b/>
                <w:color w:val="FFFFFF" w:themeColor="background1"/>
                <w:sz w:val="12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2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2"/>
                <w:szCs w:val="16"/>
              </w:rPr>
            </w:pPr>
          </w:p>
        </w:tc>
        <w:tc>
          <w:tcPr>
            <w:tcW w:w="4507" w:type="dxa"/>
            <w:gridSpan w:val="4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2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2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2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FFFFFF" w:themeFill="background1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2"/>
                <w:szCs w:val="16"/>
              </w:rPr>
            </w:pPr>
          </w:p>
        </w:tc>
      </w:tr>
      <w:tr>
        <w:tc>
          <w:tcPr>
            <w:tcW w:w="664" w:type="dxa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shd w:val="clear" w:color="auto" w:fill="0000FF"/>
            <w:textDirection w:val="btLr"/>
          </w:tcPr>
          <w:p>
            <w:pPr>
              <w:pStyle w:val="StandardWeb"/>
              <w:ind w:left="113" w:right="113"/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  <w:t>Lernende</w:t>
            </w:r>
          </w:p>
        </w:tc>
        <w:tc>
          <w:tcPr>
            <w:tcW w:w="1126" w:type="dxa"/>
            <w:tcBorders>
              <w:top w:val="single" w:sz="4" w:space="0" w:color="0000FF"/>
              <w:left w:val="nil"/>
              <w:bottom w:val="nil"/>
              <w:right w:val="dotted" w:sz="4" w:space="0" w:color="0000FF"/>
            </w:tcBorders>
            <w:shd w:val="clear" w:color="auto" w:fill="F1F4FF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FF"/>
                <w:sz w:val="16"/>
                <w:szCs w:val="16"/>
              </w:rPr>
              <w:t>Selbsteinschätzung</w:t>
            </w: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FF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single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dotted" w:sz="4" w:space="0" w:color="0000FF"/>
              <w:bottom w:val="nil"/>
              <w:right w:val="single" w:sz="4" w:space="0" w:color="0000FF"/>
            </w:tcBorders>
          </w:tcPr>
          <w:p>
            <w:pPr>
              <w:pStyle w:val="StandardWeb"/>
              <w:rPr>
                <w:rFonts w:ascii="HelveticaNeueLT Std" w:hAnsi="HelveticaNeueLT Std"/>
                <w:color w:val="0000FF"/>
                <w:sz w:val="16"/>
                <w:szCs w:val="16"/>
              </w:rPr>
            </w:pPr>
          </w:p>
        </w:tc>
      </w:tr>
      <w:tr>
        <w:tc>
          <w:tcPr>
            <w:tcW w:w="664" w:type="dxa"/>
            <w:vMerge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0000FF"/>
          </w:tcPr>
          <w:p>
            <w:pPr>
              <w:pStyle w:val="StandardWeb"/>
              <w:rPr>
                <w:rFonts w:ascii="HelveticaNeueLT Std" w:hAnsi="HelveticaNeueLT Std"/>
                <w:b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dotted" w:sz="4" w:space="0" w:color="0000FF"/>
            </w:tcBorders>
            <w:shd w:val="clear" w:color="auto" w:fill="F1F4FF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00FF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FF"/>
                <w:sz w:val="16"/>
                <w:szCs w:val="16"/>
              </w:rPr>
              <w:t>Semestergespräch</w:t>
            </w: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single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nil"/>
              <w:right w:val="single" w:sz="4" w:space="0" w:color="0000FF"/>
            </w:tcBorders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</w:tr>
      <w:tr>
        <w:tc>
          <w:tcPr>
            <w:tcW w:w="664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0000FF"/>
          </w:tcPr>
          <w:p>
            <w:pPr>
              <w:pStyle w:val="StandardWeb"/>
              <w:rPr>
                <w:rFonts w:ascii="HelveticaNeueLT Std" w:hAnsi="HelveticaNeueLT Std"/>
                <w:b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FF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single" w:sz="4" w:space="0" w:color="0000FF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4507" w:type="dxa"/>
            <w:gridSpan w:val="4"/>
            <w:tcBorders>
              <w:top w:val="nil"/>
              <w:left w:val="dotted" w:sz="4" w:space="0" w:color="0000FF"/>
              <w:bottom w:val="single" w:sz="4" w:space="0" w:color="0000FF"/>
              <w:right w:val="dotted" w:sz="4" w:space="0" w:color="0000FF"/>
            </w:tcBorders>
            <w:shd w:val="clear" w:color="auto" w:fill="F4FAFC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FF"/>
                <w:sz w:val="16"/>
                <w:szCs w:val="16"/>
              </w:rPr>
              <w:t>Aktive Suche: Bewerbung auf offene Positionen</w:t>
            </w: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single" w:sz="4" w:space="0" w:color="0000FF"/>
              <w:right w:val="dotted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dotted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4FAFC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00FF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FF"/>
                <w:sz w:val="16"/>
                <w:szCs w:val="16"/>
              </w:rPr>
              <w:t>Start Festanstellung</w:t>
            </w:r>
          </w:p>
        </w:tc>
      </w:tr>
      <w:tr>
        <w:trPr>
          <w:cantSplit/>
          <w:trHeight w:val="121"/>
        </w:trPr>
        <w:tc>
          <w:tcPr>
            <w:tcW w:w="664" w:type="dxa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  <w:textDirection w:val="btLr"/>
          </w:tcPr>
          <w:p>
            <w:pPr>
              <w:pStyle w:val="StandardWeb"/>
              <w:ind w:left="113" w:right="113"/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FF"/>
              <w:left w:val="nil"/>
              <w:bottom w:val="single" w:sz="4" w:space="0" w:color="C93600"/>
              <w:right w:val="nil"/>
            </w:tcBorders>
            <w:shd w:val="clear" w:color="auto" w:fill="FFFFFF" w:themeFill="background1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</w:tr>
      <w:tr>
        <w:trPr>
          <w:cantSplit/>
          <w:trHeight w:val="1134"/>
        </w:trPr>
        <w:tc>
          <w:tcPr>
            <w:tcW w:w="664" w:type="dxa"/>
            <w:tcBorders>
              <w:top w:val="single" w:sz="4" w:space="0" w:color="C93600"/>
              <w:left w:val="single" w:sz="4" w:space="0" w:color="C93600"/>
              <w:bottom w:val="single" w:sz="4" w:space="0" w:color="C93600"/>
              <w:right w:val="nil"/>
            </w:tcBorders>
            <w:shd w:val="clear" w:color="auto" w:fill="C93600"/>
            <w:textDirection w:val="btLr"/>
          </w:tcPr>
          <w:p>
            <w:pPr>
              <w:pStyle w:val="StandardWeb"/>
              <w:ind w:left="113" w:right="113"/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  <w:t>Ausbindner</w:t>
            </w:r>
            <w:proofErr w:type="spellEnd"/>
            <w:r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  <w:t>/-innen</w:t>
            </w:r>
          </w:p>
        </w:tc>
        <w:tc>
          <w:tcPr>
            <w:tcW w:w="1126" w:type="dxa"/>
            <w:tcBorders>
              <w:top w:val="single" w:sz="4" w:space="0" w:color="C93600"/>
              <w:left w:val="nil"/>
              <w:bottom w:val="single" w:sz="4" w:space="0" w:color="C93600"/>
              <w:right w:val="dotted" w:sz="4" w:space="0" w:color="C93600"/>
            </w:tcBorders>
            <w:shd w:val="clear" w:color="auto" w:fill="F5F2F4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C936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C93600"/>
                <w:sz w:val="16"/>
                <w:szCs w:val="16"/>
              </w:rPr>
              <w:t>Vorbereitung Weiterbeschäftigungsempfehlung</w:t>
            </w:r>
          </w:p>
        </w:tc>
        <w:tc>
          <w:tcPr>
            <w:tcW w:w="1127" w:type="dxa"/>
            <w:tcBorders>
              <w:top w:val="single" w:sz="4" w:space="0" w:color="C93600"/>
              <w:left w:val="dotted" w:sz="4" w:space="0" w:color="C93600"/>
              <w:bottom w:val="single" w:sz="4" w:space="0" w:color="C93600"/>
              <w:right w:val="dotted" w:sz="4" w:space="0" w:color="C93600"/>
            </w:tcBorders>
            <w:shd w:val="clear" w:color="auto" w:fill="F5F2F4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C936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C93600"/>
                <w:sz w:val="16"/>
                <w:szCs w:val="16"/>
              </w:rPr>
              <w:t>Semestergespräch</w:t>
            </w:r>
          </w:p>
        </w:tc>
        <w:tc>
          <w:tcPr>
            <w:tcW w:w="4507" w:type="dxa"/>
            <w:gridSpan w:val="4"/>
            <w:tcBorders>
              <w:top w:val="single" w:sz="4" w:space="0" w:color="C93600"/>
              <w:left w:val="dotted" w:sz="4" w:space="0" w:color="C93600"/>
              <w:bottom w:val="single" w:sz="4" w:space="0" w:color="C93600"/>
              <w:right w:val="dotted" w:sz="4" w:space="0" w:color="C93600"/>
            </w:tcBorders>
            <w:shd w:val="clear" w:color="auto" w:fill="F5F2F4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C936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C93600"/>
                <w:sz w:val="16"/>
                <w:szCs w:val="16"/>
              </w:rPr>
              <w:t>Beratung und Unterstützung Lernende</w:t>
            </w:r>
          </w:p>
        </w:tc>
        <w:tc>
          <w:tcPr>
            <w:tcW w:w="1127" w:type="dxa"/>
            <w:tcBorders>
              <w:top w:val="single" w:sz="4" w:space="0" w:color="C93600"/>
              <w:left w:val="dotted" w:sz="4" w:space="0" w:color="C93600"/>
              <w:bottom w:val="single" w:sz="4" w:space="0" w:color="C93600"/>
              <w:right w:val="dotted" w:sz="4" w:space="0" w:color="C9360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C93600"/>
              <w:left w:val="dotted" w:sz="4" w:space="0" w:color="C93600"/>
              <w:bottom w:val="single" w:sz="4" w:space="0" w:color="C93600"/>
              <w:right w:val="single" w:sz="4" w:space="0" w:color="C9360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C93600"/>
              <w:left w:val="dotted" w:sz="4" w:space="0" w:color="C93600"/>
              <w:bottom w:val="single" w:sz="4" w:space="0" w:color="C93600"/>
              <w:right w:val="single" w:sz="4" w:space="0" w:color="C93600"/>
            </w:tcBorders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</w:tr>
      <w:tr>
        <w:trPr>
          <w:cantSplit/>
          <w:trHeight w:val="121"/>
        </w:trPr>
        <w:tc>
          <w:tcPr>
            <w:tcW w:w="664" w:type="dxa"/>
            <w:tcBorders>
              <w:top w:val="single" w:sz="4" w:space="0" w:color="C93600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>
            <w:pPr>
              <w:pStyle w:val="StandardWeb"/>
              <w:ind w:left="113" w:right="113"/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C93600"/>
              <w:left w:val="nil"/>
              <w:bottom w:val="dotted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C93600"/>
              <w:left w:val="nil"/>
              <w:bottom w:val="dotted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C93600"/>
              <w:left w:val="nil"/>
              <w:bottom w:val="dotted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C93600"/>
              <w:left w:val="nil"/>
              <w:bottom w:val="dotted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C93600"/>
              <w:left w:val="nil"/>
              <w:bottom w:val="dotted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C93600"/>
              <w:left w:val="nil"/>
              <w:bottom w:val="dotted" w:sz="2" w:space="0" w:color="808080" w:themeColor="background1" w:themeShade="80"/>
              <w:right w:val="nil"/>
            </w:tcBorders>
            <w:shd w:val="clear" w:color="auto" w:fill="FFFFFF" w:themeFill="background1"/>
          </w:tcPr>
          <w:p>
            <w:pPr>
              <w:pStyle w:val="StandardWeb"/>
              <w:jc w:val="center"/>
              <w:rPr>
                <w:rFonts w:ascii="HelveticaNeueLT Std" w:hAnsi="HelveticaNeueLT Std"/>
                <w:sz w:val="16"/>
                <w:szCs w:val="16"/>
              </w:rPr>
            </w:pPr>
          </w:p>
        </w:tc>
      </w:tr>
      <w:tr>
        <w:tblPrEx>
          <w:tbl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  <w:insideH w:val="none" w:sz="0" w:space="0" w:color="auto"/>
            <w:insideV w:val="none" w:sz="0" w:space="0" w:color="auto"/>
          </w:tblBorders>
        </w:tblPrEx>
        <w:trPr>
          <w:cantSplit/>
          <w:trHeight w:val="1126"/>
        </w:trPr>
        <w:tc>
          <w:tcPr>
            <w:tcW w:w="664" w:type="dxa"/>
            <w:shd w:val="clear" w:color="auto" w:fill="008080"/>
            <w:textDirection w:val="btLr"/>
          </w:tcPr>
          <w:p>
            <w:pPr>
              <w:pStyle w:val="StandardWeb"/>
              <w:ind w:left="113" w:right="113"/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color w:val="FFFFFF" w:themeColor="background1"/>
                <w:sz w:val="16"/>
                <w:szCs w:val="16"/>
              </w:rPr>
              <w:t>Unternehmen</w:t>
            </w:r>
          </w:p>
        </w:tc>
        <w:tc>
          <w:tcPr>
            <w:tcW w:w="1126" w:type="dxa"/>
            <w:tcBorders>
              <w:top w:val="single" w:sz="4" w:space="0" w:color="008080"/>
              <w:bottom w:val="single" w:sz="4" w:space="0" w:color="008080"/>
              <w:right w:val="dotted" w:sz="4" w:space="0" w:color="00808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  <w:right w:val="dotted" w:sz="4" w:space="0" w:color="00808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  <w:right w:val="dotted" w:sz="4" w:space="0" w:color="008080"/>
            </w:tcBorders>
            <w:shd w:val="clear" w:color="auto" w:fill="F4FAFC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8080"/>
                <w:sz w:val="16"/>
                <w:szCs w:val="16"/>
              </w:rPr>
              <w:t>Erhalt Interesse an Weiterbeschäftigung</w:t>
            </w: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  <w:right w:val="dotted" w:sz="4" w:space="0" w:color="00808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  <w:right w:val="dotted" w:sz="4" w:space="0" w:color="00808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  <w:right w:val="dotted" w:sz="4" w:space="0" w:color="008080"/>
            </w:tcBorders>
            <w:shd w:val="clear" w:color="auto" w:fill="F4FAFC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8080"/>
                <w:sz w:val="16"/>
                <w:szCs w:val="16"/>
              </w:rPr>
              <w:t>Zwischenzeugnis</w:t>
            </w: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  <w:right w:val="dotted" w:sz="4" w:space="0" w:color="008080"/>
            </w:tcBorders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</w:tcBorders>
            <w:shd w:val="clear" w:color="auto" w:fill="F4FAFC"/>
            <w:vAlign w:val="center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8080"/>
                <w:sz w:val="16"/>
                <w:szCs w:val="16"/>
              </w:rPr>
              <w:t>Abschlusszeugnisse ausstellen. Übernahme vorbereiten.</w:t>
            </w:r>
          </w:p>
        </w:tc>
        <w:tc>
          <w:tcPr>
            <w:tcW w:w="1127" w:type="dxa"/>
            <w:tcBorders>
              <w:top w:val="single" w:sz="4" w:space="0" w:color="008080"/>
              <w:left w:val="dotted" w:sz="4" w:space="0" w:color="008080"/>
              <w:bottom w:val="single" w:sz="4" w:space="0" w:color="008080"/>
            </w:tcBorders>
            <w:shd w:val="clear" w:color="auto" w:fill="F4FAFC"/>
          </w:tcPr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</w:p>
          <w:p>
            <w:pPr>
              <w:pStyle w:val="StandardWeb"/>
              <w:jc w:val="center"/>
              <w:rPr>
                <w:rFonts w:ascii="HelveticaNeueLT Std" w:hAnsi="HelveticaNeueLT Std"/>
                <w:color w:val="00808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8080"/>
                <w:sz w:val="16"/>
                <w:szCs w:val="16"/>
              </w:rPr>
              <w:t>Eintritt.</w:t>
            </w:r>
          </w:p>
        </w:tc>
      </w:tr>
    </w:tbl>
    <w:p>
      <w:pPr>
        <w:pStyle w:val="StandardWeb"/>
        <w:rPr>
          <w:rStyle w:val="Fett"/>
          <w:rFonts w:ascii="HelveticaNeueLT Std" w:hAnsi="HelveticaNeueLT Std"/>
        </w:rPr>
      </w:pP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Dezember</w:t>
      </w:r>
      <w:r>
        <w:rPr>
          <w:rFonts w:ascii="HelveticaNeueLT Std" w:hAnsi="HelveticaNeueLT Std"/>
          <w:color w:val="5E0E99"/>
          <w:u w:val="single"/>
        </w:rPr>
        <w:t xml:space="preserve"> </w:t>
      </w:r>
      <w:r>
        <w:rPr>
          <w:rFonts w:ascii="HelveticaNeueLT Std" w:hAnsi="HelveticaNeueLT Std"/>
          <w:u w:val="single"/>
        </w:rPr>
        <w:br/>
      </w:r>
      <w:r>
        <w:rPr>
          <w:rFonts w:ascii="HelveticaNeueLT Std" w:hAnsi="HelveticaNeueLT Std"/>
        </w:rPr>
        <w:t xml:space="preserve">Lernende: Selbsteinschätzung/Wünsche der Lernenden </w:t>
      </w:r>
      <w:proofErr w:type="gramStart"/>
      <w:r>
        <w:rPr>
          <w:rFonts w:ascii="HelveticaNeueLT Std" w:hAnsi="HelveticaNeueLT Std"/>
        </w:rPr>
        <w:t>via persönlichen Gesprächen</w:t>
      </w:r>
      <w:proofErr w:type="gramEnd"/>
      <w:r>
        <w:rPr>
          <w:rFonts w:ascii="HelveticaNeueLT Std" w:hAnsi="HelveticaNeueLT Std"/>
        </w:rPr>
        <w:t>/</w:t>
      </w:r>
      <w:r>
        <w:rPr>
          <w:rFonts w:ascii="HelveticaNeueLT Std" w:hAnsi="HelveticaNeueLT Std"/>
          <w:i/>
        </w:rPr>
        <w:t xml:space="preserve">Forms-Umfrage </w:t>
      </w:r>
      <w:r>
        <w:rPr>
          <w:rFonts w:ascii="HelveticaNeueLT Std" w:hAnsi="HelveticaNeueLT Std"/>
        </w:rPr>
        <w:t xml:space="preserve">(Wo, wann und in welchem Pensum. Die Informationen und Aufforderung zum Ausfüllen der Umfrage erhaltet ihr </w:t>
      </w:r>
      <w:r>
        <w:rPr>
          <w:rFonts w:ascii="HelveticaNeueLT Std" w:hAnsi="HelveticaNeueLT Std"/>
          <w:i/>
        </w:rPr>
        <w:t>via/von</w:t>
      </w:r>
      <w:r>
        <w:rPr>
          <w:rFonts w:ascii="HelveticaNeueLT Std" w:hAnsi="HelveticaNeueLT Std"/>
        </w:rPr>
        <w:t xml:space="preserve">. </w:t>
      </w:r>
    </w:p>
    <w:p>
      <w:pPr>
        <w:pStyle w:val="StandardWeb"/>
        <w:rPr>
          <w:rStyle w:val="Fett"/>
          <w:rFonts w:ascii="HelveticaNeueLT Std" w:hAnsi="HelveticaNeueLT Std"/>
          <w:color w:val="5E0E99"/>
        </w:rPr>
      </w:pPr>
      <w:r>
        <w:rPr>
          <w:rFonts w:ascii="HelveticaNeueLT Std" w:hAnsi="HelveticaNeueLT Std"/>
        </w:rPr>
        <w:t>Ausbildner/-innen: Vorbereitung Entscheid Weiterbeschäftigung ja/nein. Einschätzung auf Grund Verlauf Lehrzeit vornehmen, Kriterien definieren (bspw. Leistungen, Entwicklung, Stand Sozial-, Methoden- und Fachkompetenzen).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lastRenderedPageBreak/>
        <w:t>Januar</w:t>
      </w:r>
      <w:r>
        <w:rPr>
          <w:rStyle w:val="Fett"/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</w:rPr>
        <w:t>Semestergespräch. Mitteilung Weiterbeschäftigungsentscheid. Planung Vorgehen.</w:t>
      </w:r>
    </w:p>
    <w:p>
      <w:pPr>
        <w:pStyle w:val="StandardWeb"/>
        <w:rPr>
          <w:rFonts w:ascii="HelveticaNeueLT Std" w:hAnsi="HelveticaNeueLT Std"/>
        </w:rPr>
      </w:pPr>
      <w:r>
        <w:rPr>
          <w:rFonts w:ascii="HelveticaNeueLT Std" w:hAnsi="HelveticaNeueLT Std"/>
        </w:rPr>
        <w:t>Lernende: Bring eigenen Vorstellungen sowie die Angaben aus der Umfrage ans Gespräch mit.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Februar</w:t>
      </w:r>
      <w:r>
        <w:rPr>
          <w:rStyle w:val="Fett"/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</w:rPr>
        <w:t xml:space="preserve">Die Selbsteinschätzung der Lernenden und die Angaben der </w:t>
      </w:r>
      <w:r>
        <w:rPr>
          <w:rFonts w:ascii="HelveticaNeueLT Std" w:hAnsi="HelveticaNeueLT Std"/>
          <w:i/>
        </w:rPr>
        <w:t xml:space="preserve">Ausbildner/-innen </w:t>
      </w:r>
      <w:r>
        <w:rPr>
          <w:rFonts w:ascii="HelveticaNeueLT Std" w:hAnsi="HelveticaNeueLT Std"/>
        </w:rPr>
        <w:t xml:space="preserve">fliessen zusammen, werden festgehalten und an die </w:t>
      </w:r>
      <w:r>
        <w:rPr>
          <w:rFonts w:ascii="HelveticaNeueLT Std" w:hAnsi="HelveticaNeueLT Std"/>
          <w:i/>
        </w:rPr>
        <w:t>interne Stelle (HR, Leitung, CEO, Chef)</w:t>
      </w:r>
      <w:r>
        <w:rPr>
          <w:rFonts w:ascii="HelveticaNeueLT Std" w:hAnsi="HelveticaNeueLT Std"/>
        </w:rPr>
        <w:t xml:space="preserve"> weitergeleitet.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März</w:t>
      </w:r>
      <w:r>
        <w:rPr>
          <w:rFonts w:ascii="HelveticaNeueLT Std" w:hAnsi="HelveticaNeueLT Std"/>
          <w:color w:val="5E0E99"/>
        </w:rPr>
        <w:t xml:space="preserve"> </w:t>
      </w:r>
      <w:r>
        <w:rPr>
          <w:rStyle w:val="Fett"/>
          <w:rFonts w:ascii="HelveticaNeueLT Std" w:hAnsi="HelveticaNeueLT Std"/>
          <w:color w:val="5E0E99"/>
        </w:rPr>
        <w:t>bis Juli</w:t>
      </w:r>
      <w:r>
        <w:rPr>
          <w:rStyle w:val="Fett"/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  <w:i/>
        </w:rPr>
        <w:t>Abteilungsleiter</w:t>
      </w:r>
      <w:r>
        <w:rPr>
          <w:rFonts w:ascii="HelveticaNeueLT Std" w:hAnsi="HelveticaNeueLT Std"/>
        </w:rPr>
        <w:t xml:space="preserve"> und </w:t>
      </w:r>
      <w:r>
        <w:rPr>
          <w:rFonts w:ascii="HelveticaNeueLT Std" w:hAnsi="HelveticaNeueLT Std"/>
          <w:i/>
        </w:rPr>
        <w:t>Aus-/Praxis-/Berufsbildner</w:t>
      </w:r>
      <w:r>
        <w:rPr>
          <w:rFonts w:ascii="HelveticaNeueLT Std" w:hAnsi="HelveticaNeueLT Std"/>
        </w:rPr>
        <w:t xml:space="preserve"> versuchen empfohlene Lernende, die eine Weiterbeschäftigung wünschen, «unterzubringen». Lernende halten auf der eigenen </w:t>
      </w:r>
      <w:r>
        <w:rPr>
          <w:rFonts w:ascii="HelveticaNeueLT Std" w:hAnsi="HelveticaNeueLT Std"/>
          <w:i/>
        </w:rPr>
        <w:t>Unternehmensseite/im Gespräch mit HR/VG</w:t>
      </w:r>
      <w:r>
        <w:rPr>
          <w:rFonts w:ascii="HelveticaNeueLT Std" w:hAnsi="HelveticaNeueLT Std"/>
        </w:rPr>
        <w:t xml:space="preserve"> Ausschau nach passenden Stellen und bewerben sich bei Interesse jeweils.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ca. April</w:t>
      </w:r>
      <w:r>
        <w:rPr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</w:rPr>
        <w:t>Information der verantwortlichen Person der Berufsbildung zum aktuellen Zwischenstand an Lernende und AusbildnerInnen.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Mai</w:t>
      </w:r>
      <w:r>
        <w:rPr>
          <w:rStyle w:val="Fett"/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</w:rPr>
        <w:t xml:space="preserve">Zwischenzeugnis wird auf Wunsch von Lernenden erstellt. 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ca. Juni/ Juli</w:t>
      </w:r>
      <w:r>
        <w:rPr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</w:rPr>
        <w:t>Abschliessende Information an Lernende durch die verantwortliche Person der Berufsbildung.</w:t>
      </w:r>
    </w:p>
    <w:p>
      <w:pPr>
        <w:pStyle w:val="StandardWeb"/>
        <w:rPr>
          <w:rFonts w:ascii="HelveticaNeueLT Std" w:hAnsi="HelveticaNeueLT Std"/>
        </w:rPr>
      </w:pPr>
      <w:r>
        <w:rPr>
          <w:rStyle w:val="Fett"/>
          <w:rFonts w:ascii="HelveticaNeueLT Std" w:hAnsi="HelveticaNeueLT Std"/>
          <w:color w:val="5E0E99"/>
        </w:rPr>
        <w:t>Juli</w:t>
      </w:r>
      <w:r>
        <w:rPr>
          <w:rFonts w:ascii="HelveticaNeueLT Std" w:hAnsi="HelveticaNeueLT Std"/>
          <w:color w:val="5E0E99"/>
        </w:rPr>
        <w:br/>
      </w:r>
      <w:r>
        <w:rPr>
          <w:rFonts w:ascii="HelveticaNeueLT Std" w:hAnsi="HelveticaNeueLT Std"/>
        </w:rPr>
        <w:t>Lernende reichen den Notenausweis bei der verantwortlichen Person der Berufsbildung ein und erhalten dann das Abschlusszeugnis Ende Juli per Post.</w:t>
      </w:r>
      <w:bookmarkStart w:id="0" w:name="_GoBack"/>
      <w:bookmarkEnd w:id="0"/>
    </w:p>
    <w:p>
      <w:pPr>
        <w:pStyle w:val="StandardWeb"/>
        <w:rPr>
          <w:rFonts w:ascii="HelveticaNeueLT Std" w:eastAsia="Times New Roman" w:hAnsi="HelveticaNeueLT Std"/>
        </w:rPr>
      </w:pPr>
      <w:r>
        <w:rPr>
          <w:rStyle w:val="Fett"/>
          <w:rFonts w:ascii="HelveticaNeueLT Std" w:hAnsi="HelveticaNeueLT Std"/>
          <w:color w:val="5E0E99"/>
        </w:rPr>
        <w:t>August</w:t>
      </w:r>
      <w:r>
        <w:rPr>
          <w:rFonts w:ascii="HelveticaNeueLT Std" w:eastAsia="Times New Roman" w:hAnsi="HelveticaNeueLT Std"/>
        </w:rPr>
        <w:t xml:space="preserve"> </w:t>
      </w:r>
      <w:r>
        <w:rPr>
          <w:rFonts w:ascii="HelveticaNeueLT Std" w:eastAsia="Times New Roman" w:hAnsi="HelveticaNeueLT Std"/>
        </w:rPr>
        <w:br/>
        <w:t>Arbeitsvertrag im Lehrbetrieb wird ausgestellt oder weiter nach passenden Stellen gesucht.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851" w:bottom="170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Blk">
    <w:altName w:val="Arial"/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71429" cy="361905"/>
          <wp:effectExtent l="0" t="0" r="635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429" cy="3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right"/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Lehrabschluss und danach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noProof/>
      </w:rPr>
      <w:drawing>
        <wp:inline distT="0" distB="0" distL="0" distR="0">
          <wp:extent cx="360000" cy="360000"/>
          <wp:effectExtent l="0" t="0" r="2540" b="254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02707CD-99A5-4CE0-8DE1-B32F8B1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Theme="minorEastAsi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Theme="minorEastAsia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2</cp:revision>
  <dcterms:created xsi:type="dcterms:W3CDTF">2024-02-07T13:55:00Z</dcterms:created>
  <dcterms:modified xsi:type="dcterms:W3CDTF">2024-02-07T13:55:00Z</dcterms:modified>
</cp:coreProperties>
</file>