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rschrift1"/>
        <w:rPr>
          <w:rFonts w:ascii="HelveticaNeueLT Std Blk" w:eastAsia="Times New Roman" w:hAnsi="HelveticaNeueLT Std Blk"/>
          <w:color w:val="008080"/>
          <w:sz w:val="28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-1061366</wp:posOffset>
                </wp:positionV>
                <wp:extent cx="489585" cy="1621790"/>
                <wp:effectExtent l="5398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9585" cy="1621790"/>
                        </a:xfrm>
                        <a:prstGeom prst="rect">
                          <a:avLst/>
                        </a:prstGeom>
                        <a:solidFill>
                          <a:srgbClr val="F4FA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HelveticaNeueLT Std Blk" w:hAnsi="HelveticaNeueLT Std Blk"/>
                                <w:color w:val="008080"/>
                              </w:rPr>
                            </w:pPr>
                            <w:r>
                              <w:rPr>
                                <w:rFonts w:ascii="HelveticaNeueLT Std Blk" w:hAnsi="HelveticaNeueLT Std Blk"/>
                                <w:color w:val="008080"/>
                              </w:rPr>
                              <w:t>MUSTER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-12.65pt;margin-top:-83.55pt;width:38.55pt;height:127.7pt;rotation:90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" fillcolor="#f4fafc" stroked="f" strokeweight="1pt">
                <v:textbox style="layout-flow:vertical;mso-layout-flow-alt:bottom-to-top">
                  <w:txbxContent>
                    <w:p>
                      <w:pPr>
                        <w:jc w:val="center"/>
                        <w:rPr>
                          <w:rFonts w:ascii="HelveticaNeueLT Std Blk" w:hAnsi="HelveticaNeueLT Std Blk"/>
                          <w:color w:val="008080"/>
                        </w:rPr>
                      </w:pPr>
                      <w:r>
                        <w:rPr>
                          <w:rFonts w:ascii="HelveticaNeueLT Std Blk" w:hAnsi="HelveticaNeueLT Std Blk"/>
                          <w:color w:val="008080"/>
                        </w:rPr>
                        <w:t>MUSTER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HelveticaNeueLT Std Blk" w:eastAsia="Times New Roman" w:hAnsi="HelveticaNeueLT Std Blk"/>
        </w:rPr>
        <w:t>Disziplinarprozess</w:t>
      </w:r>
      <w:r>
        <w:rPr>
          <w:rFonts w:ascii="HelveticaNeueLT Std Blk" w:eastAsia="Times New Roman" w:hAnsi="HelveticaNeueLT Std Blk"/>
        </w:rPr>
        <w:br/>
      </w:r>
      <w:r>
        <w:rPr>
          <w:rFonts w:ascii="HelveticaNeueLT Std Blk" w:eastAsia="Times New Roman" w:hAnsi="HelveticaNeueLT Std Blk"/>
          <w:color w:val="008080"/>
          <w:sz w:val="28"/>
        </w:rPr>
        <w:t>Vorlage</w:t>
      </w:r>
    </w:p>
    <w:tbl>
      <w:tblPr>
        <w:tblStyle w:val="Tabellenraster"/>
        <w:tblW w:w="1089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266"/>
        <w:gridCol w:w="2257"/>
        <w:gridCol w:w="5040"/>
        <w:gridCol w:w="2454"/>
      </w:tblGrid>
      <w:tr>
        <w:tc>
          <w:tcPr>
            <w:tcW w:w="850" w:type="dxa"/>
          </w:tcPr>
          <w:p>
            <w:pPr>
              <w:pStyle w:val="berschrift1"/>
              <w:jc w:val="center"/>
              <w:rPr>
                <w:rFonts w:ascii="HelveticaNeueLT Std Blk" w:eastAsia="Times New Roman" w:hAnsi="HelveticaNeueLT Std Blk"/>
                <w:b w:val="0"/>
                <w:sz w:val="24"/>
              </w:rPr>
            </w:pPr>
            <w:r>
              <w:rPr>
                <w:rFonts w:ascii="HelveticaNeueLT Std Blk" w:eastAsia="Times New Roman" w:hAnsi="HelveticaNeueLT Std Blk"/>
                <w:b w:val="0"/>
                <w:color w:val="D0CECE" w:themeColor="background2" w:themeShade="E6"/>
                <w:sz w:val="24"/>
              </w:rPr>
              <w:t>Stufe</w:t>
            </w:r>
          </w:p>
        </w:tc>
        <w:tc>
          <w:tcPr>
            <w:tcW w:w="266" w:type="dxa"/>
            <w:shd w:val="clear" w:color="auto" w:fill="FFFFFF" w:themeFill="background1"/>
          </w:tcPr>
          <w:p>
            <w:pPr>
              <w:pStyle w:val="berschrift1"/>
              <w:rPr>
                <w:rFonts w:ascii="HelveticaNeueLT Std Blk" w:eastAsia="Times New Roman" w:hAnsi="HelveticaNeueLT Std Blk"/>
                <w:b w:val="0"/>
                <w:sz w:val="24"/>
              </w:rPr>
            </w:pPr>
          </w:p>
        </w:tc>
        <w:tc>
          <w:tcPr>
            <w:tcW w:w="2262" w:type="dxa"/>
          </w:tcPr>
          <w:p>
            <w:pPr>
              <w:pStyle w:val="berschrift1"/>
              <w:ind w:left="-120"/>
              <w:rPr>
                <w:rFonts w:ascii="HelveticaNeueLT Std Blk" w:eastAsia="Times New Roman" w:hAnsi="HelveticaNeueLT Std Blk"/>
                <w:b w:val="0"/>
                <w:sz w:val="24"/>
              </w:rPr>
            </w:pPr>
            <w:r>
              <w:rPr>
                <w:rFonts w:ascii="HelveticaNeueLT Std Blk" w:eastAsia="Times New Roman" w:hAnsi="HelveticaNeueLT Std Blk"/>
                <w:b w:val="0"/>
                <w:sz w:val="24"/>
              </w:rPr>
              <w:t>Massnahme</w:t>
            </w:r>
          </w:p>
        </w:tc>
        <w:tc>
          <w:tcPr>
            <w:tcW w:w="5054" w:type="dxa"/>
          </w:tcPr>
          <w:p>
            <w:pPr>
              <w:pStyle w:val="berschrift1"/>
              <w:rPr>
                <w:rFonts w:ascii="HelveticaNeueLT Std Blk" w:eastAsia="Times New Roman" w:hAnsi="HelveticaNeueLT Std Blk"/>
                <w:b w:val="0"/>
                <w:sz w:val="24"/>
              </w:rPr>
            </w:pPr>
            <w:r>
              <w:rPr>
                <w:rFonts w:ascii="HelveticaNeueLT Std Blk" w:eastAsia="Times New Roman" w:hAnsi="HelveticaNeueLT Std Blk"/>
                <w:b w:val="0"/>
                <w:sz w:val="24"/>
              </w:rPr>
              <w:t>Beschrieb</w:t>
            </w:r>
          </w:p>
        </w:tc>
        <w:tc>
          <w:tcPr>
            <w:tcW w:w="2459" w:type="dxa"/>
          </w:tcPr>
          <w:p>
            <w:pPr>
              <w:pStyle w:val="berschrift1"/>
              <w:rPr>
                <w:rFonts w:ascii="HelveticaNeueLT Std Blk" w:eastAsia="Times New Roman" w:hAnsi="HelveticaNeueLT Std Blk"/>
                <w:b w:val="0"/>
                <w:sz w:val="24"/>
              </w:rPr>
            </w:pPr>
            <w:r>
              <w:rPr>
                <w:rFonts w:ascii="HelveticaNeueLT Std Blk" w:eastAsia="Times New Roman" w:hAnsi="HelveticaNeueLT Std Blk"/>
                <w:b w:val="0"/>
                <w:sz w:val="24"/>
              </w:rPr>
              <w:t>Kopie/Info</w:t>
            </w:r>
          </w:p>
        </w:tc>
      </w:tr>
      <w:tr>
        <w:tc>
          <w:tcPr>
            <w:tcW w:w="850" w:type="dxa"/>
          </w:tcPr>
          <w:p>
            <w:pPr>
              <w:pStyle w:val="berschrift1"/>
              <w:jc w:val="center"/>
              <w:rPr>
                <w:rFonts w:ascii="HelveticaNeueLT Std" w:eastAsia="Times New Roman" w:hAnsi="HelveticaNeueLT Std"/>
                <w:b w:val="0"/>
                <w:sz w:val="24"/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24"/>
              </w:rPr>
            </w:pPr>
          </w:p>
        </w:tc>
        <w:tc>
          <w:tcPr>
            <w:tcW w:w="2262" w:type="dxa"/>
            <w:tcBorders>
              <w:bottom w:val="single" w:sz="4" w:space="0" w:color="D9D9D9" w:themeColor="background1" w:themeShade="D9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24"/>
              </w:rPr>
            </w:pPr>
          </w:p>
        </w:tc>
        <w:tc>
          <w:tcPr>
            <w:tcW w:w="5054" w:type="dxa"/>
            <w:tcBorders>
              <w:bottom w:val="single" w:sz="4" w:space="0" w:color="D9D9D9" w:themeColor="background1" w:themeShade="D9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24"/>
              </w:rPr>
            </w:pPr>
          </w:p>
        </w:tc>
        <w:tc>
          <w:tcPr>
            <w:tcW w:w="2459" w:type="dxa"/>
            <w:tcBorders>
              <w:bottom w:val="single" w:sz="4" w:space="0" w:color="D9D9D9" w:themeColor="background1" w:themeShade="D9"/>
            </w:tcBorders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24"/>
              </w:rPr>
            </w:pPr>
          </w:p>
        </w:tc>
      </w:tr>
      <w:tr>
        <w:trPr>
          <w:trHeight w:val="2154"/>
        </w:trPr>
        <w:tc>
          <w:tcPr>
            <w:tcW w:w="850" w:type="dxa"/>
            <w:shd w:val="clear" w:color="auto" w:fill="008080"/>
            <w:vAlign w:val="center"/>
          </w:tcPr>
          <w:p>
            <w:pPr>
              <w:pStyle w:val="berschrift1"/>
              <w:jc w:val="center"/>
              <w:rPr>
                <w:rFonts w:ascii="HelveticaNeueLT Std" w:eastAsia="Times New Roman" w:hAnsi="HelveticaNeueLT Std"/>
                <w:b w:val="0"/>
                <w:sz w:val="24"/>
              </w:rPr>
            </w:pPr>
            <w:r>
              <w:rPr>
                <w:rFonts w:ascii="HelveticaNeueLT Std" w:eastAsia="Times New Roman" w:hAnsi="HelveticaNeueLT Std"/>
                <w:b w:val="0"/>
                <w:color w:val="FFFFFF" w:themeColor="background1"/>
                <w:sz w:val="36"/>
              </w:rPr>
              <w:t>1</w:t>
            </w:r>
          </w:p>
        </w:tc>
        <w:tc>
          <w:tcPr>
            <w:tcW w:w="266" w:type="dxa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</w:tcPr>
          <w:p>
            <w:pPr>
              <w:pStyle w:val="berschrift1"/>
              <w:rPr>
                <w:rFonts w:ascii="HelveticaNeueLT Std Blk" w:eastAsia="Times New Roman" w:hAnsi="HelveticaNeueLT Std Blk"/>
                <w:b w:val="0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4FAFC"/>
            <w:vAlign w:val="center"/>
          </w:tcPr>
          <w:p>
            <w:pPr>
              <w:pStyle w:val="berschrift1"/>
              <w:rPr>
                <w:rFonts w:ascii="HelveticaNeueLT Std Blk" w:eastAsia="Times New Roman" w:hAnsi="HelveticaNeueLT Std Blk"/>
                <w:b w:val="0"/>
                <w:sz w:val="24"/>
              </w:rPr>
            </w:pPr>
            <w:r>
              <w:rPr>
                <w:rFonts w:ascii="HelveticaNeueLT Std Blk" w:eastAsia="Times New Roman" w:hAnsi="HelveticaNeueLT Std Blk"/>
                <w:b w:val="0"/>
                <w:sz w:val="24"/>
              </w:rPr>
              <w:t xml:space="preserve">Ermahnung, </w:t>
            </w:r>
            <w:r>
              <w:rPr>
                <w:rFonts w:ascii="HelveticaNeueLT Std Blk" w:eastAsia="Times New Roman" w:hAnsi="HelveticaNeueLT Std Blk"/>
                <w:b w:val="0"/>
                <w:sz w:val="24"/>
              </w:rPr>
              <w:br/>
              <w:t>Notiz</w:t>
            </w:r>
          </w:p>
        </w:tc>
        <w:tc>
          <w:tcPr>
            <w:tcW w:w="50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4FAFC"/>
            <w:vAlign w:val="center"/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22"/>
              </w:rPr>
            </w:pPr>
            <w:r>
              <w:rPr>
                <w:rFonts w:ascii="HelveticaNeueLT Std" w:eastAsia="Times New Roman" w:hAnsi="HelveticaNeueLT Std"/>
                <w:b w:val="0"/>
                <w:sz w:val="22"/>
              </w:rPr>
              <w:t xml:space="preserve">Schriftliche Ermahnung, in der das Fehlverhalten präzise erläutert wird (Datum, Erklärung). In der Ermahnung wird der gewünschte Zielzustand beschrieben. </w:t>
            </w:r>
            <w:r>
              <w:rPr>
                <w:rFonts w:ascii="HelveticaNeueLT Std" w:eastAsia="Times New Roman" w:hAnsi="HelveticaNeueLT Std"/>
                <w:b w:val="0"/>
                <w:sz w:val="22"/>
              </w:rPr>
              <w:br/>
              <w:t>Sie enthält eine Beobachtungsperiode samt Folgetermin für eine erneute Standortbestimmung.</w:t>
            </w:r>
          </w:p>
        </w:tc>
        <w:tc>
          <w:tcPr>
            <w:tcW w:w="24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4FAFC"/>
            <w:vAlign w:val="center"/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24"/>
              </w:rPr>
            </w:pPr>
            <w:r>
              <w:rPr>
                <w:rFonts w:ascii="HelveticaNeueLT Std" w:eastAsia="Times New Roman" w:hAnsi="HelveticaNeueLT Std"/>
                <w:b w:val="0"/>
                <w:sz w:val="24"/>
              </w:rPr>
              <w:t>lernende Person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berschrift1"/>
              <w:jc w:val="center"/>
              <w:rPr>
                <w:rFonts w:ascii="HelveticaNeueLT Std" w:eastAsia="Times New Roman" w:hAnsi="HelveticaNeueLT Std"/>
                <w:b w:val="0"/>
                <w:sz w:val="18"/>
                <w:szCs w:val="18"/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18"/>
                <w:szCs w:val="18"/>
              </w:rPr>
            </w:pPr>
          </w:p>
        </w:tc>
        <w:tc>
          <w:tcPr>
            <w:tcW w:w="505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22"/>
                <w:szCs w:val="18"/>
              </w:rPr>
            </w:pPr>
          </w:p>
        </w:tc>
        <w:tc>
          <w:tcPr>
            <w:tcW w:w="24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18"/>
                <w:szCs w:val="18"/>
              </w:rPr>
            </w:pPr>
          </w:p>
        </w:tc>
      </w:tr>
      <w:tr>
        <w:trPr>
          <w:trHeight w:val="2154"/>
        </w:trPr>
        <w:tc>
          <w:tcPr>
            <w:tcW w:w="850" w:type="dxa"/>
            <w:shd w:val="clear" w:color="auto" w:fill="C93600"/>
            <w:vAlign w:val="center"/>
          </w:tcPr>
          <w:p>
            <w:pPr>
              <w:pStyle w:val="berschrift1"/>
              <w:jc w:val="center"/>
              <w:rPr>
                <w:rFonts w:ascii="HelveticaNeueLT Std" w:eastAsia="Times New Roman" w:hAnsi="HelveticaNeueLT Std"/>
                <w:b w:val="0"/>
                <w:color w:val="FFFFFF" w:themeColor="background1"/>
                <w:sz w:val="36"/>
                <w:szCs w:val="36"/>
              </w:rPr>
            </w:pPr>
            <w:r>
              <w:rPr>
                <w:rFonts w:ascii="HelveticaNeueLT Std" w:eastAsia="Times New Roman" w:hAnsi="HelveticaNeueLT Std"/>
                <w:b w:val="0"/>
                <w:color w:val="FFFFFF" w:themeColor="background1"/>
                <w:sz w:val="36"/>
                <w:szCs w:val="36"/>
              </w:rPr>
              <w:t>2</w:t>
            </w:r>
          </w:p>
        </w:tc>
        <w:tc>
          <w:tcPr>
            <w:tcW w:w="266" w:type="dxa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</w:tcPr>
          <w:p>
            <w:pPr>
              <w:pStyle w:val="berschrift1"/>
              <w:rPr>
                <w:rFonts w:ascii="HelveticaNeueLT Std Blk" w:eastAsia="Times New Roman" w:hAnsi="HelveticaNeueLT Std Blk"/>
                <w:b w:val="0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5F2F4"/>
            <w:vAlign w:val="center"/>
          </w:tcPr>
          <w:p>
            <w:pPr>
              <w:pStyle w:val="berschrift1"/>
              <w:rPr>
                <w:rFonts w:ascii="HelveticaNeueLT Std Blk" w:eastAsia="Times New Roman" w:hAnsi="HelveticaNeueLT Std Blk"/>
                <w:b w:val="0"/>
                <w:sz w:val="24"/>
              </w:rPr>
            </w:pPr>
            <w:r>
              <w:rPr>
                <w:rFonts w:ascii="HelveticaNeueLT Std Blk" w:eastAsia="Times New Roman" w:hAnsi="HelveticaNeueLT Std Blk"/>
                <w:b w:val="0"/>
                <w:sz w:val="24"/>
              </w:rPr>
              <w:t>1. Verwarnung</w:t>
            </w:r>
          </w:p>
        </w:tc>
        <w:tc>
          <w:tcPr>
            <w:tcW w:w="50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5F2F4"/>
            <w:vAlign w:val="center"/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22"/>
              </w:rPr>
            </w:pPr>
            <w:r>
              <w:rPr>
                <w:rFonts w:ascii="HelveticaNeueLT Std" w:eastAsia="Times New Roman" w:hAnsi="HelveticaNeueLT Std"/>
                <w:b w:val="0"/>
                <w:sz w:val="22"/>
              </w:rPr>
              <w:t xml:space="preserve">Schriftliche Verwarnung, in der das Fehlverhalten präzise erläutert (Datum, Erklärung) und der gewünschte Zielzustand beschrieben wird. Erwähnt werden bereits durchgeführte Sitzungen (Ermahnung). </w:t>
            </w:r>
            <w:r>
              <w:rPr>
                <w:rFonts w:ascii="HelveticaNeueLT Std" w:eastAsia="Times New Roman" w:hAnsi="HelveticaNeueLT Std"/>
                <w:b w:val="0"/>
                <w:sz w:val="22"/>
              </w:rPr>
              <w:br/>
              <w:t>Sie enthält eine Beobachtungsperiode samt Folgetermin für eine erneute Standortbestimmung.</w:t>
            </w:r>
          </w:p>
        </w:tc>
        <w:tc>
          <w:tcPr>
            <w:tcW w:w="24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5F2F4"/>
            <w:vAlign w:val="center"/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24"/>
              </w:rPr>
            </w:pPr>
            <w:r>
              <w:rPr>
                <w:rFonts w:ascii="HelveticaNeueLT Std" w:eastAsia="Times New Roman" w:hAnsi="HelveticaNeueLT Std"/>
                <w:b w:val="0"/>
                <w:sz w:val="24"/>
              </w:rPr>
              <w:t>lernende Person, gesetzliche Vertretung/Eltern, HR, Personaldossier</w:t>
            </w:r>
            <w:bookmarkStart w:id="0" w:name="_GoBack"/>
            <w:bookmarkEnd w:id="0"/>
            <w:r>
              <w:rPr>
                <w:rFonts w:ascii="HelveticaNeueLT Std" w:eastAsia="Times New Roman" w:hAnsi="HelveticaNeueLT Std"/>
                <w:b w:val="0"/>
                <w:sz w:val="24"/>
              </w:rPr>
              <w:t>, Mittelschul- und Berufsbildungsamt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berschrift1"/>
              <w:jc w:val="center"/>
              <w:rPr>
                <w:rFonts w:ascii="HelveticaNeueLT Std" w:eastAsia="Times New Roman" w:hAnsi="HelveticaNeueLT Std"/>
                <w:b w:val="0"/>
                <w:sz w:val="18"/>
                <w:szCs w:val="18"/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18"/>
                <w:szCs w:val="18"/>
              </w:rPr>
            </w:pPr>
          </w:p>
        </w:tc>
        <w:tc>
          <w:tcPr>
            <w:tcW w:w="505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22"/>
                <w:szCs w:val="18"/>
              </w:rPr>
            </w:pPr>
          </w:p>
        </w:tc>
        <w:tc>
          <w:tcPr>
            <w:tcW w:w="24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18"/>
                <w:szCs w:val="18"/>
              </w:rPr>
            </w:pPr>
          </w:p>
        </w:tc>
      </w:tr>
      <w:tr>
        <w:trPr>
          <w:trHeight w:val="2154"/>
        </w:trPr>
        <w:tc>
          <w:tcPr>
            <w:tcW w:w="850" w:type="dxa"/>
            <w:shd w:val="clear" w:color="auto" w:fill="C93600"/>
            <w:vAlign w:val="center"/>
          </w:tcPr>
          <w:p>
            <w:pPr>
              <w:pStyle w:val="berschrift1"/>
              <w:jc w:val="center"/>
              <w:rPr>
                <w:rFonts w:ascii="HelveticaNeueLT Std" w:eastAsia="Times New Roman" w:hAnsi="HelveticaNeueLT Std"/>
                <w:b w:val="0"/>
                <w:color w:val="FFFFFF" w:themeColor="background1"/>
                <w:sz w:val="36"/>
                <w:szCs w:val="36"/>
              </w:rPr>
            </w:pPr>
            <w:r>
              <w:rPr>
                <w:rFonts w:ascii="HelveticaNeueLT Std" w:eastAsia="Times New Roman" w:hAnsi="HelveticaNeueLT Std"/>
                <w:b w:val="0"/>
                <w:color w:val="FFFFFF" w:themeColor="background1"/>
                <w:sz w:val="36"/>
                <w:szCs w:val="36"/>
              </w:rPr>
              <w:t>3</w:t>
            </w:r>
          </w:p>
        </w:tc>
        <w:tc>
          <w:tcPr>
            <w:tcW w:w="266" w:type="dxa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</w:tcPr>
          <w:p>
            <w:pPr>
              <w:pStyle w:val="berschrift1"/>
              <w:rPr>
                <w:rFonts w:ascii="HelveticaNeueLT Std Blk" w:eastAsia="Times New Roman" w:hAnsi="HelveticaNeueLT Std Blk"/>
                <w:b w:val="0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5F2F4"/>
            <w:vAlign w:val="center"/>
          </w:tcPr>
          <w:p>
            <w:pPr>
              <w:pStyle w:val="berschrift1"/>
              <w:rPr>
                <w:rFonts w:ascii="HelveticaNeueLT Std Blk" w:eastAsia="Times New Roman" w:hAnsi="HelveticaNeueLT Std Blk"/>
                <w:b w:val="0"/>
                <w:sz w:val="24"/>
              </w:rPr>
            </w:pPr>
            <w:r>
              <w:rPr>
                <w:rFonts w:ascii="HelveticaNeueLT Std Blk" w:eastAsia="Times New Roman" w:hAnsi="HelveticaNeueLT Std Blk"/>
                <w:b w:val="0"/>
                <w:sz w:val="24"/>
              </w:rPr>
              <w:t>2. Verwarnung</w:t>
            </w:r>
          </w:p>
        </w:tc>
        <w:tc>
          <w:tcPr>
            <w:tcW w:w="50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5F2F4"/>
            <w:vAlign w:val="center"/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22"/>
              </w:rPr>
            </w:pPr>
            <w:r>
              <w:rPr>
                <w:rFonts w:ascii="HelveticaNeueLT Std" w:eastAsia="Times New Roman" w:hAnsi="HelveticaNeueLT Std"/>
                <w:b w:val="0"/>
                <w:sz w:val="22"/>
              </w:rPr>
              <w:t xml:space="preserve">Schriftliche Verwarnung inkl. Androhung Lehrvertragsauflösung, in der das Fehlverhalten präzise erläutert (Datum, Erklärung) und der gewünschte Zielzustand beschrieben wird. Erwähnt werden bereits durchgeführte Sitzungen (Ermahnung, 1. Verwarnung). </w:t>
            </w:r>
            <w:r>
              <w:rPr>
                <w:rFonts w:ascii="HelveticaNeueLT Std" w:eastAsia="Times New Roman" w:hAnsi="HelveticaNeueLT Std"/>
                <w:b w:val="0"/>
                <w:sz w:val="22"/>
              </w:rPr>
              <w:br/>
              <w:t>Sie enthält eine Beobachtungsperiode samt Folgetermin für eine erneute Standortbestimmung.</w:t>
            </w:r>
          </w:p>
        </w:tc>
        <w:tc>
          <w:tcPr>
            <w:tcW w:w="24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5F2F4"/>
            <w:vAlign w:val="center"/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24"/>
              </w:rPr>
            </w:pPr>
            <w:r>
              <w:rPr>
                <w:rFonts w:ascii="HelveticaNeueLT Std" w:eastAsia="Times New Roman" w:hAnsi="HelveticaNeueLT Std"/>
                <w:b w:val="0"/>
                <w:sz w:val="24"/>
              </w:rPr>
              <w:t>lernende Person, gesetzliche Vertretung/Eltern, HR, Mittelschul- und Berufsbildungsamt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berschrift1"/>
              <w:jc w:val="center"/>
              <w:rPr>
                <w:rFonts w:ascii="HelveticaNeueLT Std" w:eastAsia="Times New Roman" w:hAnsi="HelveticaNeueLT Std"/>
                <w:b w:val="0"/>
                <w:sz w:val="18"/>
                <w:szCs w:val="18"/>
              </w:rPr>
            </w:pPr>
          </w:p>
        </w:tc>
        <w:tc>
          <w:tcPr>
            <w:tcW w:w="266" w:type="dxa"/>
            <w:shd w:val="clear" w:color="auto" w:fill="FFFFFF" w:themeFill="background1"/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18"/>
                <w:szCs w:val="18"/>
              </w:rPr>
            </w:pPr>
          </w:p>
        </w:tc>
        <w:tc>
          <w:tcPr>
            <w:tcW w:w="505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18"/>
                <w:szCs w:val="18"/>
              </w:rPr>
            </w:pPr>
          </w:p>
        </w:tc>
      </w:tr>
      <w:tr>
        <w:trPr>
          <w:trHeight w:val="2154"/>
        </w:trPr>
        <w:tc>
          <w:tcPr>
            <w:tcW w:w="850" w:type="dxa"/>
            <w:shd w:val="clear" w:color="auto" w:fill="5E0E99"/>
            <w:vAlign w:val="center"/>
          </w:tcPr>
          <w:p>
            <w:pPr>
              <w:pStyle w:val="berschrift1"/>
              <w:jc w:val="center"/>
              <w:rPr>
                <w:rFonts w:ascii="HelveticaNeueLT Std" w:eastAsia="Times New Roman" w:hAnsi="HelveticaNeueLT Std"/>
                <w:b w:val="0"/>
                <w:sz w:val="36"/>
                <w:szCs w:val="36"/>
              </w:rPr>
            </w:pPr>
            <w:r>
              <w:rPr>
                <w:rFonts w:ascii="HelveticaNeueLT Std" w:eastAsia="Times New Roman" w:hAnsi="HelveticaNeueLT Std"/>
                <w:b w:val="0"/>
                <w:color w:val="FFFFFF" w:themeColor="background1"/>
                <w:sz w:val="36"/>
                <w:szCs w:val="36"/>
              </w:rPr>
              <w:t>4</w:t>
            </w:r>
          </w:p>
        </w:tc>
        <w:tc>
          <w:tcPr>
            <w:tcW w:w="266" w:type="dxa"/>
            <w:tcBorders>
              <w:right w:val="single" w:sz="4" w:space="0" w:color="D9D9D9" w:themeColor="background1" w:themeShade="D9"/>
            </w:tcBorders>
            <w:shd w:val="clear" w:color="auto" w:fill="FFFFFF" w:themeFill="background1"/>
          </w:tcPr>
          <w:p>
            <w:pPr>
              <w:pStyle w:val="berschrift1"/>
              <w:rPr>
                <w:rFonts w:ascii="HelveticaNeueLT Std Blk" w:eastAsia="Times New Roman" w:hAnsi="HelveticaNeueLT Std Blk"/>
                <w:b w:val="0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4F1FF"/>
            <w:vAlign w:val="center"/>
          </w:tcPr>
          <w:p>
            <w:pPr>
              <w:pStyle w:val="berschrift1"/>
              <w:rPr>
                <w:rFonts w:ascii="HelveticaNeueLT Std Blk" w:eastAsia="Times New Roman" w:hAnsi="HelveticaNeueLT Std Blk"/>
                <w:b w:val="0"/>
                <w:sz w:val="24"/>
              </w:rPr>
            </w:pPr>
            <w:r>
              <w:rPr>
                <w:rFonts w:ascii="HelveticaNeueLT Std Blk" w:eastAsia="Times New Roman" w:hAnsi="HelveticaNeueLT Std Blk"/>
                <w:b w:val="0"/>
                <w:sz w:val="24"/>
              </w:rPr>
              <w:t>Lehrvertragsauflösung</w:t>
            </w:r>
          </w:p>
        </w:tc>
        <w:tc>
          <w:tcPr>
            <w:tcW w:w="50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4F1FF"/>
            <w:vAlign w:val="center"/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22"/>
              </w:rPr>
            </w:pPr>
            <w:r>
              <w:rPr>
                <w:rFonts w:ascii="HelveticaNeueLT Std" w:eastAsia="Times New Roman" w:hAnsi="HelveticaNeueLT Std"/>
                <w:b w:val="0"/>
                <w:sz w:val="22"/>
              </w:rPr>
              <w:t>Auflösung des Lehrvertrages, einseitig oder in gegenseitigem Einvernehmen.</w:t>
            </w:r>
          </w:p>
        </w:tc>
        <w:tc>
          <w:tcPr>
            <w:tcW w:w="24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4F1FF"/>
            <w:vAlign w:val="center"/>
          </w:tcPr>
          <w:p>
            <w:pPr>
              <w:pStyle w:val="berschrift1"/>
              <w:rPr>
                <w:rFonts w:ascii="HelveticaNeueLT Std" w:eastAsia="Times New Roman" w:hAnsi="HelveticaNeueLT Std"/>
                <w:b w:val="0"/>
                <w:sz w:val="24"/>
              </w:rPr>
            </w:pPr>
            <w:r>
              <w:rPr>
                <w:rFonts w:ascii="HelveticaNeueLT Std" w:eastAsia="Times New Roman" w:hAnsi="HelveticaNeueLT Std"/>
                <w:b w:val="0"/>
                <w:sz w:val="24"/>
              </w:rPr>
              <w:t>lernende Person, gesetzliche Vertretung/Eltern, HR, Mittelschul- und Berufsbildungsamt</w:t>
            </w:r>
          </w:p>
        </w:tc>
      </w:tr>
    </w:tbl>
    <w:p>
      <w:pPr>
        <w:pStyle w:val="berschrift1"/>
        <w:rPr>
          <w:rFonts w:ascii="HelveticaNeueLT Std Blk" w:eastAsia="Times New Roman" w:hAnsi="HelveticaNeueLT Std Blk"/>
          <w:sz w:val="10"/>
          <w:szCs w:val="10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552" w:right="851" w:bottom="1701" w:left="1701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 Blk">
    <w:panose1 w:val="020B09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jc w:val="right"/>
    </w:pPr>
    <w:r>
      <w:rPr>
        <w:noProof/>
      </w:rPr>
      <w:drawing>
        <wp:inline distT="0" distB="0" distL="0" distR="0">
          <wp:extent cx="569222" cy="360000"/>
          <wp:effectExtent l="0" t="0" r="254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2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rFonts w:ascii="Arial" w:eastAsia="Times New Roman" w:hAnsi="Arial" w:cs="Arial"/>
        <w:sz w:val="20"/>
        <w:szCs w:val="20"/>
      </w:rPr>
    </w:pPr>
    <w:r>
      <w:rPr>
        <w:rFonts w:ascii="HelveticaNeueLT Std" w:hAnsi="HelveticaNeueLT Std"/>
        <w:i/>
        <w:sz w:val="16"/>
      </w:rPr>
      <w:t>Hier kann Ihr Betriebslogo eingefügt werden</w:t>
    </w:r>
    <w:r>
      <w:rPr>
        <w:rFonts w:ascii="HelveticaNeueLT Std" w:hAnsi="HelveticaNeueLT Std"/>
        <w:sz w:val="16"/>
      </w:rPr>
      <w:ptab w:relativeTo="margin" w:alignment="center" w:leader="none"/>
    </w:r>
    <w:r>
      <w:rPr>
        <w:rFonts w:ascii="HelveticaNeueLT Std" w:hAnsi="HelveticaNeueLT Std"/>
        <w:sz w:val="16"/>
      </w:rPr>
      <w:t>während der Ausbildung</w:t>
    </w:r>
    <w:r>
      <w:rPr>
        <w:rFonts w:ascii="HelveticaNeueLT Std" w:hAnsi="HelveticaNeueLT Std"/>
        <w:sz w:val="16"/>
      </w:rPr>
      <w:ptab w:relativeTo="margin" w:alignment="right" w:leader="none"/>
    </w:r>
    <w:r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>
          <wp:extent cx="360000" cy="360000"/>
          <wp:effectExtent l="0" t="0" r="2540" b="2540"/>
          <wp:docPr id="2" name="Grafik 2" descr="C:\Users\b165sga\AppData\Local\Temp\msohtmlclip1\02\clip_image001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165sga\AppData\Local\Temp\msohtmlclip1\02\clip_image001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76CD"/>
    <w:multiLevelType w:val="hybridMultilevel"/>
    <w:tmpl w:val="ADCCE74C"/>
    <w:lvl w:ilvl="0" w:tplc="9C4441B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  <w:color w:val="0000FF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B25965"/>
    <w:multiLevelType w:val="hybridMultilevel"/>
    <w:tmpl w:val="60FE5CD2"/>
    <w:lvl w:ilvl="0" w:tplc="A650BB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F49CC"/>
    <w:multiLevelType w:val="hybridMultilevel"/>
    <w:tmpl w:val="4F828EFE"/>
    <w:lvl w:ilvl="0" w:tplc="9C4441B2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 w:tplc="08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BD56C4"/>
    <w:multiLevelType w:val="hybridMultilevel"/>
    <w:tmpl w:val="AB2ADFD8"/>
    <w:lvl w:ilvl="0" w:tplc="04B2866C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8080"/>
      </w:rPr>
    </w:lvl>
    <w:lvl w:ilvl="1" w:tplc="08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C265BF"/>
    <w:multiLevelType w:val="hybridMultilevel"/>
    <w:tmpl w:val="27426A12"/>
    <w:lvl w:ilvl="0" w:tplc="04B2866C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8080"/>
      </w:rPr>
    </w:lvl>
    <w:lvl w:ilvl="1" w:tplc="08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5:chartTrackingRefBased/>
  <w15:docId w15:val="{B02707CD-99A5-4CE0-8DE1-B32F8B1A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</w:style>
  <w:style w:type="character" w:customStyle="1" w:styleId="inline-comment-marker">
    <w:name w:val="inline-comment-marker"/>
    <w:basedOn w:val="Absatz-Standardschriftart"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  <w:style w:type="paragraph" w:customStyle="1" w:styleId="media-group">
    <w:name w:val="media-group"/>
    <w:basedOn w:val="Standard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eastAsiaTheme="minorEastAsi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eastAsiaTheme="minorEastAsia"/>
      <w:sz w:val="24"/>
      <w:szCs w:val="24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3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onenote:#section-id={F6DA0B82-D8B6-4724-B557-B1874C06725D}&amp;end&amp;base-path=https://eduzh.sharepoint.com/teams/365-BI-SEK2-19-Entwicklung/SiteAssets/Branding%20und%20Design/Home.on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7EB4823DB124D9CDDF14D401D1A62" ma:contentTypeVersion="13" ma:contentTypeDescription="Ein neues Dokument erstellen." ma:contentTypeScope="" ma:versionID="8fdc2aa7a131dbb00745e279bd1e3876">
  <xsd:schema xmlns:xsd="http://www.w3.org/2001/XMLSchema" xmlns:xs="http://www.w3.org/2001/XMLSchema" xmlns:p="http://schemas.microsoft.com/office/2006/metadata/properties" xmlns:ns2="ec65930f-2d41-47e1-9e5d-5dcd3d8c0c4f" xmlns:ns3="140e487c-7201-4eb0-9b91-0a13d2749b55" targetNamespace="http://schemas.microsoft.com/office/2006/metadata/properties" ma:root="true" ma:fieldsID="a5873578332a161035052a84f7c987f2" ns2:_="" ns3:_="">
    <xsd:import namespace="ec65930f-2d41-47e1-9e5d-5dcd3d8c0c4f"/>
    <xsd:import namespace="140e487c-7201-4eb0-9b91-0a13d2749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5930f-2d41-47e1-9e5d-5dcd3d8c0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be50911-cf5f-4bf3-9307-b8767a5ae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e487c-7201-4eb0-9b91-0a13d2749b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21685a-30eb-4e39-b64e-096229876e0d}" ma:internalName="TaxCatchAll" ma:showField="CatchAllData" ma:web="140e487c-7201-4eb0-9b91-0a13d2749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AC0E8-BFB5-4E78-ABEC-D6C9E2B8B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5930f-2d41-47e1-9e5d-5dcd3d8c0c4f"/>
    <ds:schemaRef ds:uri="140e487c-7201-4eb0-9b91-0a13d2749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33874-A28C-4E3D-8A30-0DEE44DD6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Weiterbeschäftigungsprozess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Weiterbeschäftigungsprozess</dc:title>
  <dc:subject/>
  <dc:creator>Mittelschul- und Berufsbildungsamt</dc:creator>
  <cp:keywords/>
  <dc:description/>
  <cp:lastModifiedBy>Stefan Gamper (MBA)</cp:lastModifiedBy>
  <cp:revision>11</cp:revision>
  <dcterms:created xsi:type="dcterms:W3CDTF">2023-11-01T12:21:00Z</dcterms:created>
  <dcterms:modified xsi:type="dcterms:W3CDTF">2023-12-01T10:21:00Z</dcterms:modified>
</cp:coreProperties>
</file>